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299E" w14:textId="1BC56A72" w:rsidR="00FF44AC" w:rsidRPr="009C52C4" w:rsidRDefault="00552349" w:rsidP="005205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Industrial Machinery </w:t>
      </w:r>
      <w:r w:rsidR="002D0027">
        <w:rPr>
          <w:b/>
          <w:bCs/>
          <w:sz w:val="28"/>
          <w:szCs w:val="28"/>
        </w:rPr>
        <w:t>Manufacturing</w:t>
      </w:r>
      <w:r w:rsidR="00FF44AC">
        <w:rPr>
          <w:b/>
          <w:bCs/>
          <w:sz w:val="28"/>
          <w:szCs w:val="28"/>
        </w:rPr>
        <w:t xml:space="preserve"> </w:t>
      </w:r>
      <w:r w:rsidR="00FF44AC" w:rsidRPr="009C52C4">
        <w:rPr>
          <w:b/>
          <w:bCs/>
          <w:sz w:val="28"/>
          <w:szCs w:val="28"/>
        </w:rPr>
        <w:t>Glossary</w:t>
      </w:r>
    </w:p>
    <w:tbl>
      <w:tblPr>
        <w:tblStyle w:val="GridTable2-Accent4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FF44AC" w:rsidRPr="00A41121" w14:paraId="688FB4BA" w14:textId="77777777" w:rsidTr="00492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2555C81" w14:textId="77777777" w:rsidR="00FF44AC" w:rsidRPr="00A41121" w:rsidRDefault="00FF44AC" w:rsidP="004924CB">
            <w:pPr>
              <w:rPr>
                <w:color w:val="002060"/>
                <w:sz w:val="24"/>
                <w:szCs w:val="24"/>
              </w:rPr>
            </w:pPr>
            <w:r w:rsidRPr="00A41121">
              <w:rPr>
                <w:color w:val="002060"/>
                <w:sz w:val="24"/>
                <w:szCs w:val="24"/>
              </w:rPr>
              <w:t>Term:</w:t>
            </w:r>
          </w:p>
        </w:tc>
        <w:tc>
          <w:tcPr>
            <w:tcW w:w="7195" w:type="dxa"/>
          </w:tcPr>
          <w:p w14:paraId="0FCA8CFE" w14:textId="77777777" w:rsidR="00FF44AC" w:rsidRPr="00A41121" w:rsidRDefault="00FF44AC" w:rsidP="00492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A41121">
              <w:rPr>
                <w:color w:val="002060"/>
                <w:sz w:val="24"/>
                <w:szCs w:val="24"/>
              </w:rPr>
              <w:t>Definition:</w:t>
            </w:r>
          </w:p>
        </w:tc>
      </w:tr>
      <w:tr w:rsidR="00D57611" w14:paraId="2E432C9A" w14:textId="77777777" w:rsidTr="00492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126B021" w14:textId="2604AFFD" w:rsidR="00D57611" w:rsidRDefault="00D57611" w:rsidP="00D57611">
            <w:r>
              <w:t>Air gap</w:t>
            </w:r>
          </w:p>
        </w:tc>
        <w:tc>
          <w:tcPr>
            <w:tcW w:w="7195" w:type="dxa"/>
          </w:tcPr>
          <w:p w14:paraId="543FCA5D" w14:textId="1CE03EC7" w:rsidR="00D57611" w:rsidRDefault="00D57611" w:rsidP="00D5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space between rotating and stationary parts in an electric motor.</w:t>
            </w:r>
          </w:p>
        </w:tc>
      </w:tr>
      <w:tr w:rsidR="00D57611" w14:paraId="5571C3D0" w14:textId="77777777" w:rsidTr="00492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70CA82D" w14:textId="36E640C3" w:rsidR="00D57611" w:rsidRDefault="00D57611" w:rsidP="00D57611">
            <w:pPr>
              <w:tabs>
                <w:tab w:val="left" w:pos="1662"/>
              </w:tabs>
            </w:pPr>
            <w:r>
              <w:t>Assembly</w:t>
            </w:r>
          </w:p>
        </w:tc>
        <w:tc>
          <w:tcPr>
            <w:tcW w:w="7195" w:type="dxa"/>
          </w:tcPr>
          <w:p w14:paraId="4B9CB252" w14:textId="40CFBDD5" w:rsidR="00D57611" w:rsidRPr="00FA0BA4" w:rsidRDefault="00D57611" w:rsidP="00D5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process of putting two or more pieces of machinery together to create a product</w:t>
            </w:r>
          </w:p>
        </w:tc>
      </w:tr>
      <w:tr w:rsidR="001D2BE9" w14:paraId="2F83D5F4" w14:textId="77777777" w:rsidTr="00492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541BB79" w14:textId="16425B42" w:rsidR="001D2BE9" w:rsidRDefault="001D2BE9" w:rsidP="001D2BE9">
            <w:r>
              <w:t>Automation</w:t>
            </w:r>
          </w:p>
        </w:tc>
        <w:tc>
          <w:tcPr>
            <w:tcW w:w="7195" w:type="dxa"/>
          </w:tcPr>
          <w:p w14:paraId="75C20697" w14:textId="0AB3A003" w:rsidR="001D2BE9" w:rsidRDefault="001D2BE9" w:rsidP="001D2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Using machines, AI, or robots, the process of manufacturing without human assistance.</w:t>
            </w:r>
          </w:p>
        </w:tc>
      </w:tr>
      <w:tr w:rsidR="001D2BE9" w14:paraId="0A6A9FC5" w14:textId="77777777" w:rsidTr="00492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A8F6825" w14:textId="4D3F55E7" w:rsidR="001D2BE9" w:rsidRDefault="001D2BE9" w:rsidP="001D2BE9">
            <w:r>
              <w:t>Calibration</w:t>
            </w:r>
          </w:p>
        </w:tc>
        <w:tc>
          <w:tcPr>
            <w:tcW w:w="7195" w:type="dxa"/>
          </w:tcPr>
          <w:p w14:paraId="5A9B1467" w14:textId="78A6FF8D" w:rsidR="001D2BE9" w:rsidRDefault="005965DE" w:rsidP="001D2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method of </w:t>
            </w:r>
            <w:r w:rsidR="00055E0F">
              <w:t xml:space="preserve">testing </w:t>
            </w:r>
            <w:r>
              <w:t xml:space="preserve">measuring instruments and devices against a tool to ensure </w:t>
            </w:r>
            <w:r w:rsidR="00055E0F">
              <w:t>accuracy and stability within the meas</w:t>
            </w:r>
            <w:r w:rsidR="0067348D">
              <w:t xml:space="preserve">uring </w:t>
            </w:r>
            <w:r w:rsidR="00055E0F">
              <w:t>tools.</w:t>
            </w:r>
          </w:p>
        </w:tc>
      </w:tr>
      <w:tr w:rsidR="001D2BE9" w14:paraId="3BF20500" w14:textId="77777777" w:rsidTr="00492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6A5138D" w14:textId="6E791C78" w:rsidR="001D2BE9" w:rsidRDefault="001D2BE9" w:rsidP="001D2BE9">
            <w:r>
              <w:t>Cogging</w:t>
            </w:r>
          </w:p>
        </w:tc>
        <w:tc>
          <w:tcPr>
            <w:tcW w:w="7195" w:type="dxa"/>
          </w:tcPr>
          <w:p w14:paraId="35EC0E6C" w14:textId="0F54F9CF" w:rsidR="001D2BE9" w:rsidRPr="00FA0BA4" w:rsidRDefault="001D2BE9" w:rsidP="001D2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Shaft</w:t>
            </w:r>
            <w:r w:rsidRPr="00C31A2B">
              <w:t xml:space="preserve"> rotation occurring in jerks or increments rather than smooth continuous motion. The jerky</w:t>
            </w:r>
            <w:r>
              <w:t xml:space="preserve"> </w:t>
            </w:r>
            <w:r w:rsidRPr="00C31A2B">
              <w:t xml:space="preserve">rotation results from the </w:t>
            </w:r>
            <w:r>
              <w:t>rotating arm’s tendency</w:t>
            </w:r>
            <w:r w:rsidRPr="00C31A2B">
              <w:t xml:space="preserve"> to certain angular positions. Cogging is very apparent at low speeds</w:t>
            </w:r>
            <w:r>
              <w:t xml:space="preserve"> </w:t>
            </w:r>
            <w:r w:rsidRPr="00C31A2B">
              <w:t>and determines a motor’s speed range.</w:t>
            </w:r>
          </w:p>
        </w:tc>
      </w:tr>
      <w:tr w:rsidR="00236B61" w14:paraId="1E06EA3D" w14:textId="77777777" w:rsidTr="00492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18AA6AA" w14:textId="1C714479" w:rsidR="00236B61" w:rsidRDefault="00236B61" w:rsidP="001D2BE9">
            <w:r w:rsidRPr="00236B61">
              <w:t>Concurrent Engineering</w:t>
            </w:r>
          </w:p>
        </w:tc>
        <w:tc>
          <w:tcPr>
            <w:tcW w:w="7195" w:type="dxa"/>
          </w:tcPr>
          <w:p w14:paraId="0F28746B" w14:textId="23F4305E" w:rsidR="00236B61" w:rsidRDefault="00236B61" w:rsidP="001D2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Running</w:t>
            </w:r>
            <w:r w:rsidRPr="00236B61">
              <w:t xml:space="preserve"> product development stages parallel to each other rather than one stage followed by another. This reduces lead times and costs.</w:t>
            </w:r>
          </w:p>
        </w:tc>
      </w:tr>
      <w:tr w:rsidR="001D2BE9" w14:paraId="1D9F0A85" w14:textId="77777777" w:rsidTr="00492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720D69A" w14:textId="6611878E" w:rsidR="001D2BE9" w:rsidRDefault="001D2BE9" w:rsidP="001D2BE9">
            <w:r>
              <w:t>Load</w:t>
            </w:r>
          </w:p>
        </w:tc>
        <w:tc>
          <w:tcPr>
            <w:tcW w:w="7195" w:type="dxa"/>
          </w:tcPr>
          <w:p w14:paraId="21D5AEC9" w14:textId="72D08879" w:rsidR="001D2BE9" w:rsidRPr="00FA0BA4" w:rsidRDefault="001D2BE9" w:rsidP="001D2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work required from a motor to drive equipment. Load is usually defined in terms of horsepower.</w:t>
            </w:r>
          </w:p>
        </w:tc>
      </w:tr>
      <w:tr w:rsidR="001D2BE9" w14:paraId="4EFB31C7" w14:textId="77777777" w:rsidTr="00492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8E87BD7" w14:textId="304EE035" w:rsidR="001D2BE9" w:rsidRDefault="00647C43" w:rsidP="001D2BE9">
            <w:r>
              <w:t>Flexible machining</w:t>
            </w:r>
          </w:p>
        </w:tc>
        <w:tc>
          <w:tcPr>
            <w:tcW w:w="7195" w:type="dxa"/>
          </w:tcPr>
          <w:p w14:paraId="19E3B09D" w14:textId="03F35DC6" w:rsidR="001D2BE9" w:rsidRPr="00FA0BA4" w:rsidRDefault="00647C43" w:rsidP="001D2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Machining equipment </w:t>
            </w:r>
            <w:r w:rsidR="001823AB">
              <w:t xml:space="preserve">that can easily be reprogrammed to </w:t>
            </w:r>
            <w:proofErr w:type="spellStart"/>
            <w:r w:rsidR="008B6DAA">
              <w:t>fluxuate</w:t>
            </w:r>
            <w:proofErr w:type="spellEnd"/>
            <w:r w:rsidR="008B6DAA">
              <w:t xml:space="preserve"> </w:t>
            </w:r>
            <w:r w:rsidR="001823AB">
              <w:t xml:space="preserve">with the project at hand, such as dynamically programmable robotics </w:t>
            </w:r>
            <w:r w:rsidR="008B6DAA">
              <w:t>with</w:t>
            </w:r>
            <w:r w:rsidR="001823AB">
              <w:t xml:space="preserve"> </w:t>
            </w:r>
          </w:p>
        </w:tc>
      </w:tr>
      <w:tr w:rsidR="001D2BE9" w14:paraId="23332958" w14:textId="77777777" w:rsidTr="00492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C8B471F" w14:textId="3E3CF625" w:rsidR="001D2BE9" w:rsidRPr="009C58EE" w:rsidRDefault="00E94946" w:rsidP="001D2BE9">
            <w:r>
              <w:t>Heat-affected zone</w:t>
            </w:r>
          </w:p>
        </w:tc>
        <w:tc>
          <w:tcPr>
            <w:tcW w:w="7195" w:type="dxa"/>
          </w:tcPr>
          <w:p w14:paraId="063465D4" w14:textId="782DCB94" w:rsidR="001D2BE9" w:rsidRDefault="00E94946" w:rsidP="001D2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section of a part whose structure and mechanical </w:t>
            </w:r>
            <w:r w:rsidR="008B6DAA">
              <w:t>properties</w:t>
            </w:r>
            <w:r>
              <w:t xml:space="preserve"> were </w:t>
            </w:r>
            <w:r w:rsidR="00717E6C">
              <w:t>altered</w:t>
            </w:r>
            <w:r w:rsidR="00ED217B">
              <w:t xml:space="preserve"> due to heat. This can occur in laser cutting</w:t>
            </w:r>
          </w:p>
        </w:tc>
      </w:tr>
      <w:tr w:rsidR="001D2BE9" w14:paraId="68F768FB" w14:textId="77777777" w:rsidTr="00492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958529D" w14:textId="1BD4113C" w:rsidR="001D2BE9" w:rsidRDefault="00ED217B" w:rsidP="001D2BE9">
            <w:r>
              <w:t>Inspection</w:t>
            </w:r>
          </w:p>
        </w:tc>
        <w:tc>
          <w:tcPr>
            <w:tcW w:w="7195" w:type="dxa"/>
          </w:tcPr>
          <w:p w14:paraId="2C663B23" w14:textId="0EA212FB" w:rsidR="001D2BE9" w:rsidRPr="00FA0BA4" w:rsidRDefault="00ED217B" w:rsidP="001D2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process of checking a part to ensure that it meets specific dimensions and quality standards. </w:t>
            </w:r>
          </w:p>
        </w:tc>
      </w:tr>
      <w:tr w:rsidR="001D2BE9" w14:paraId="694B1843" w14:textId="77777777" w:rsidTr="00492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D5AC17E" w14:textId="16931C91" w:rsidR="001D2BE9" w:rsidRDefault="00ED217B" w:rsidP="001D2BE9">
            <w:r>
              <w:t>ISO Certification</w:t>
            </w:r>
          </w:p>
        </w:tc>
        <w:tc>
          <w:tcPr>
            <w:tcW w:w="7195" w:type="dxa"/>
          </w:tcPr>
          <w:p w14:paraId="2DBDE6C6" w14:textId="29EFA44A" w:rsidR="001D2BE9" w:rsidRPr="00FA0BA4" w:rsidRDefault="0007006A" w:rsidP="001D2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certification for quality standards</w:t>
            </w:r>
          </w:p>
        </w:tc>
      </w:tr>
      <w:tr w:rsidR="001D2BE9" w14:paraId="5D88491C" w14:textId="77777777" w:rsidTr="00492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CE854B3" w14:textId="5D960032" w:rsidR="001D2BE9" w:rsidRDefault="00024A34" w:rsidP="001D2BE9">
            <w:r>
              <w:t>Precision machining</w:t>
            </w:r>
          </w:p>
        </w:tc>
        <w:tc>
          <w:tcPr>
            <w:tcW w:w="7195" w:type="dxa"/>
          </w:tcPr>
          <w:p w14:paraId="38061CB6" w14:textId="770D04D0" w:rsidR="001D2BE9" w:rsidRDefault="00B37B8D" w:rsidP="001D2BE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Machining and measuring to exact specifications, </w:t>
            </w:r>
            <w:r w:rsidR="00717E6C">
              <w:t>including</w:t>
            </w:r>
            <w:r>
              <w:t xml:space="preserve"> dimensions, limits, tolerance,</w:t>
            </w:r>
            <w:r w:rsidR="008B6DAA">
              <w:t xml:space="preserve"> </w:t>
            </w:r>
            <w:r>
              <w:t xml:space="preserve">and </w:t>
            </w:r>
            <w:r w:rsidR="008B6DAA">
              <w:t>allowances</w:t>
            </w:r>
          </w:p>
        </w:tc>
      </w:tr>
      <w:tr w:rsidR="00654BA8" w14:paraId="5BE33B23" w14:textId="77777777" w:rsidTr="00492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D37D101" w14:textId="2618D33F" w:rsidR="00654BA8" w:rsidRDefault="00654BA8" w:rsidP="001D2BE9">
            <w:r w:rsidRPr="00654BA8">
              <w:t>Product Lifecycle Management (PLM</w:t>
            </w:r>
            <w:r>
              <w:t>)</w:t>
            </w:r>
          </w:p>
        </w:tc>
        <w:tc>
          <w:tcPr>
            <w:tcW w:w="7195" w:type="dxa"/>
          </w:tcPr>
          <w:p w14:paraId="3159C4E4" w14:textId="7B43E51C" w:rsidR="00654BA8" w:rsidRDefault="00654BA8" w:rsidP="001D2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Pr="00654BA8">
              <w:t>anag</w:t>
            </w:r>
            <w:r>
              <w:t>ing</w:t>
            </w:r>
            <w:r w:rsidRPr="00654BA8">
              <w:t xml:space="preserve"> the entire lifecycle of a product from inception, through engineering design and manufacturing the final product, to servicing those manufactured products.</w:t>
            </w:r>
          </w:p>
        </w:tc>
      </w:tr>
      <w:tr w:rsidR="00654BA8" w14:paraId="7BE3AD01" w14:textId="77777777" w:rsidTr="00492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A550B19" w14:textId="4029D922" w:rsidR="00654BA8" w:rsidRPr="00654BA8" w:rsidRDefault="00654BA8" w:rsidP="001D2BE9">
            <w:r w:rsidRPr="00654BA8">
              <w:t>Product Modularization</w:t>
            </w:r>
          </w:p>
        </w:tc>
        <w:tc>
          <w:tcPr>
            <w:tcW w:w="7195" w:type="dxa"/>
          </w:tcPr>
          <w:p w14:paraId="5F03E2E5" w14:textId="0B581F57" w:rsidR="00654BA8" w:rsidRDefault="00654BA8" w:rsidP="0065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Using </w:t>
            </w:r>
            <w:r>
              <w:t xml:space="preserve">modules or manufacturing sub-systems to create, upgrade and develop products mostly along multiple production lines, or a single product line offered in various configurations. This brings significant cost reductions, reduces time to market significantly, while offering the customers required personalization. </w:t>
            </w:r>
          </w:p>
          <w:p w14:paraId="33244508" w14:textId="77777777" w:rsidR="00654BA8" w:rsidRDefault="00654BA8" w:rsidP="0065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means that companies can slash their product development and material costs, and facilitate optimization of the total product cost by:</w:t>
            </w:r>
          </w:p>
          <w:p w14:paraId="11791595" w14:textId="5F8584ED" w:rsidR="00654BA8" w:rsidRDefault="00654BA8" w:rsidP="00951B5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Increasing potential for product variety</w:t>
            </w:r>
          </w:p>
          <w:p w14:paraId="6D3DA827" w14:textId="16947F9E" w:rsidR="00654BA8" w:rsidRDefault="00654BA8" w:rsidP="00951B5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Enabling faster product development and upgrade</w:t>
            </w:r>
          </w:p>
          <w:p w14:paraId="7168D4C1" w14:textId="390EF632" w:rsidR="00654BA8" w:rsidRDefault="00654BA8" w:rsidP="00951B5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Improving time-to-market, as well as aftermarket and service support</w:t>
            </w:r>
          </w:p>
          <w:p w14:paraId="7B977154" w14:textId="3B4E4619" w:rsidR="00654BA8" w:rsidRDefault="00654BA8" w:rsidP="00951B5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Allowing continuous product and market improvement</w:t>
            </w:r>
          </w:p>
        </w:tc>
      </w:tr>
      <w:tr w:rsidR="001D2BE9" w14:paraId="2C81CC06" w14:textId="77777777" w:rsidTr="00492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2DB51A9" w14:textId="78272061" w:rsidR="001D2BE9" w:rsidRDefault="001E27B5" w:rsidP="001D2BE9">
            <w:r>
              <w:t>Repeatability</w:t>
            </w:r>
          </w:p>
        </w:tc>
        <w:tc>
          <w:tcPr>
            <w:tcW w:w="7195" w:type="dxa"/>
          </w:tcPr>
          <w:p w14:paraId="62D8A6BF" w14:textId="4B6EB354" w:rsidR="001D2BE9" w:rsidRPr="00FA0BA4" w:rsidRDefault="00C0565F" w:rsidP="001D2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capability of a machine to meet a certain accuracy time and time again.</w:t>
            </w:r>
          </w:p>
        </w:tc>
      </w:tr>
      <w:tr w:rsidR="001D2BE9" w14:paraId="16437174" w14:textId="77777777" w:rsidTr="00492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C153635" w14:textId="297A44B3" w:rsidR="001D2BE9" w:rsidRDefault="007B3186" w:rsidP="001D2BE9">
            <w:r>
              <w:t>Value-added service</w:t>
            </w:r>
          </w:p>
        </w:tc>
        <w:tc>
          <w:tcPr>
            <w:tcW w:w="7195" w:type="dxa"/>
          </w:tcPr>
          <w:p w14:paraId="5ECA69A3" w14:textId="54CAB189" w:rsidR="001D2BE9" w:rsidRPr="00FF1A9B" w:rsidRDefault="00236B61" w:rsidP="001D2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processes or additional measures taken to add more value to a part or project, such as welding, drilling, etc.</w:t>
            </w:r>
          </w:p>
        </w:tc>
      </w:tr>
    </w:tbl>
    <w:p w14:paraId="644B7B1B" w14:textId="77777777" w:rsidR="009C58EE" w:rsidRDefault="009C58EE" w:rsidP="009C58EE">
      <w:pPr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pPr>
    </w:p>
    <w:sectPr w:rsidR="009C5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225"/>
    <w:multiLevelType w:val="hybridMultilevel"/>
    <w:tmpl w:val="B0F2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937F8"/>
    <w:multiLevelType w:val="hybridMultilevel"/>
    <w:tmpl w:val="5CA0C058"/>
    <w:lvl w:ilvl="0" w:tplc="F620ADD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F6C66"/>
    <w:multiLevelType w:val="hybridMultilevel"/>
    <w:tmpl w:val="B512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6C5D"/>
    <w:multiLevelType w:val="hybridMultilevel"/>
    <w:tmpl w:val="FF04D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43A54"/>
    <w:multiLevelType w:val="hybridMultilevel"/>
    <w:tmpl w:val="DC403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E37AF7"/>
    <w:multiLevelType w:val="hybridMultilevel"/>
    <w:tmpl w:val="66DA5214"/>
    <w:lvl w:ilvl="0" w:tplc="F620ADD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54FDB"/>
    <w:multiLevelType w:val="hybridMultilevel"/>
    <w:tmpl w:val="A9E8D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A6A03"/>
    <w:multiLevelType w:val="hybridMultilevel"/>
    <w:tmpl w:val="AC60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AC"/>
    <w:rsid w:val="0000461B"/>
    <w:rsid w:val="00017BB0"/>
    <w:rsid w:val="00024A34"/>
    <w:rsid w:val="000463E6"/>
    <w:rsid w:val="00046D7E"/>
    <w:rsid w:val="00055E0F"/>
    <w:rsid w:val="0007006A"/>
    <w:rsid w:val="00084D1F"/>
    <w:rsid w:val="000976BC"/>
    <w:rsid w:val="000A6640"/>
    <w:rsid w:val="000B716A"/>
    <w:rsid w:val="000D36F2"/>
    <w:rsid w:val="000D5BE5"/>
    <w:rsid w:val="00112E7B"/>
    <w:rsid w:val="00147EA0"/>
    <w:rsid w:val="00155631"/>
    <w:rsid w:val="001635A5"/>
    <w:rsid w:val="00167562"/>
    <w:rsid w:val="00181169"/>
    <w:rsid w:val="001823AB"/>
    <w:rsid w:val="00197974"/>
    <w:rsid w:val="001A1A53"/>
    <w:rsid w:val="001A4078"/>
    <w:rsid w:val="001A7C1A"/>
    <w:rsid w:val="001C552F"/>
    <w:rsid w:val="001D2BE9"/>
    <w:rsid w:val="001E27B5"/>
    <w:rsid w:val="002156F4"/>
    <w:rsid w:val="00215B15"/>
    <w:rsid w:val="00226371"/>
    <w:rsid w:val="00236B61"/>
    <w:rsid w:val="0024124F"/>
    <w:rsid w:val="00243E51"/>
    <w:rsid w:val="00255512"/>
    <w:rsid w:val="0026538F"/>
    <w:rsid w:val="00277000"/>
    <w:rsid w:val="002824DC"/>
    <w:rsid w:val="00295C90"/>
    <w:rsid w:val="00297428"/>
    <w:rsid w:val="002C261E"/>
    <w:rsid w:val="002D0027"/>
    <w:rsid w:val="002D1B32"/>
    <w:rsid w:val="002D3187"/>
    <w:rsid w:val="002D6D22"/>
    <w:rsid w:val="002E152D"/>
    <w:rsid w:val="002E1DA3"/>
    <w:rsid w:val="002E7362"/>
    <w:rsid w:val="002F40B6"/>
    <w:rsid w:val="002F5F53"/>
    <w:rsid w:val="003118F7"/>
    <w:rsid w:val="0031436F"/>
    <w:rsid w:val="003433FC"/>
    <w:rsid w:val="003449B2"/>
    <w:rsid w:val="00345AAB"/>
    <w:rsid w:val="00375928"/>
    <w:rsid w:val="003C5A11"/>
    <w:rsid w:val="003D093D"/>
    <w:rsid w:val="003E74C7"/>
    <w:rsid w:val="003F262F"/>
    <w:rsid w:val="00442B5C"/>
    <w:rsid w:val="004513C5"/>
    <w:rsid w:val="004526EF"/>
    <w:rsid w:val="00462F74"/>
    <w:rsid w:val="00496DDB"/>
    <w:rsid w:val="004B764D"/>
    <w:rsid w:val="004C3660"/>
    <w:rsid w:val="004D12F3"/>
    <w:rsid w:val="005002E7"/>
    <w:rsid w:val="00503C3F"/>
    <w:rsid w:val="0051177D"/>
    <w:rsid w:val="005154FB"/>
    <w:rsid w:val="005205FF"/>
    <w:rsid w:val="0052471D"/>
    <w:rsid w:val="00530D95"/>
    <w:rsid w:val="00536ED3"/>
    <w:rsid w:val="00547092"/>
    <w:rsid w:val="005506E2"/>
    <w:rsid w:val="00552349"/>
    <w:rsid w:val="005616DD"/>
    <w:rsid w:val="00573C5C"/>
    <w:rsid w:val="00574EC3"/>
    <w:rsid w:val="005763FB"/>
    <w:rsid w:val="005767B3"/>
    <w:rsid w:val="005806EA"/>
    <w:rsid w:val="00581884"/>
    <w:rsid w:val="00590337"/>
    <w:rsid w:val="005934FB"/>
    <w:rsid w:val="005965DE"/>
    <w:rsid w:val="005A3C21"/>
    <w:rsid w:val="005B26B3"/>
    <w:rsid w:val="005E4E69"/>
    <w:rsid w:val="006225F3"/>
    <w:rsid w:val="00625262"/>
    <w:rsid w:val="006325E7"/>
    <w:rsid w:val="00632DDC"/>
    <w:rsid w:val="00647C43"/>
    <w:rsid w:val="00654BA8"/>
    <w:rsid w:val="00664D43"/>
    <w:rsid w:val="0067348D"/>
    <w:rsid w:val="006770B1"/>
    <w:rsid w:val="0068552C"/>
    <w:rsid w:val="006A605A"/>
    <w:rsid w:val="006D37F7"/>
    <w:rsid w:val="006D6720"/>
    <w:rsid w:val="006E26C8"/>
    <w:rsid w:val="00717268"/>
    <w:rsid w:val="0071783A"/>
    <w:rsid w:val="00717CE6"/>
    <w:rsid w:val="00717E6C"/>
    <w:rsid w:val="007200DB"/>
    <w:rsid w:val="007215EF"/>
    <w:rsid w:val="00743C73"/>
    <w:rsid w:val="00774C29"/>
    <w:rsid w:val="00777221"/>
    <w:rsid w:val="007B19DA"/>
    <w:rsid w:val="007B3186"/>
    <w:rsid w:val="007B5114"/>
    <w:rsid w:val="007C425B"/>
    <w:rsid w:val="007C70D9"/>
    <w:rsid w:val="007D3F9C"/>
    <w:rsid w:val="007E3C23"/>
    <w:rsid w:val="007E4419"/>
    <w:rsid w:val="0081081D"/>
    <w:rsid w:val="00826FB2"/>
    <w:rsid w:val="00837CD9"/>
    <w:rsid w:val="00844002"/>
    <w:rsid w:val="0087658E"/>
    <w:rsid w:val="00885CDF"/>
    <w:rsid w:val="008B0E73"/>
    <w:rsid w:val="008B6DAA"/>
    <w:rsid w:val="008B6E59"/>
    <w:rsid w:val="008C4BA8"/>
    <w:rsid w:val="008F3C33"/>
    <w:rsid w:val="00911879"/>
    <w:rsid w:val="00921962"/>
    <w:rsid w:val="00927FF6"/>
    <w:rsid w:val="00930133"/>
    <w:rsid w:val="00947CFB"/>
    <w:rsid w:val="00951B5A"/>
    <w:rsid w:val="0097143B"/>
    <w:rsid w:val="00974666"/>
    <w:rsid w:val="009871B5"/>
    <w:rsid w:val="009A2881"/>
    <w:rsid w:val="009A5758"/>
    <w:rsid w:val="009C58EE"/>
    <w:rsid w:val="009D7FA4"/>
    <w:rsid w:val="009E5AA4"/>
    <w:rsid w:val="00A05787"/>
    <w:rsid w:val="00A909F3"/>
    <w:rsid w:val="00AB7A56"/>
    <w:rsid w:val="00AC13ED"/>
    <w:rsid w:val="00AF5E75"/>
    <w:rsid w:val="00B00523"/>
    <w:rsid w:val="00B01C46"/>
    <w:rsid w:val="00B204AB"/>
    <w:rsid w:val="00B37B8D"/>
    <w:rsid w:val="00B80AA1"/>
    <w:rsid w:val="00B835B1"/>
    <w:rsid w:val="00B861E1"/>
    <w:rsid w:val="00B87061"/>
    <w:rsid w:val="00B9262D"/>
    <w:rsid w:val="00B96452"/>
    <w:rsid w:val="00BA0916"/>
    <w:rsid w:val="00BA396E"/>
    <w:rsid w:val="00BA68FE"/>
    <w:rsid w:val="00BA6A5D"/>
    <w:rsid w:val="00BB2D39"/>
    <w:rsid w:val="00BE71E7"/>
    <w:rsid w:val="00C0565F"/>
    <w:rsid w:val="00C063E5"/>
    <w:rsid w:val="00C07DDF"/>
    <w:rsid w:val="00C11089"/>
    <w:rsid w:val="00C14031"/>
    <w:rsid w:val="00C21CD3"/>
    <w:rsid w:val="00C230A0"/>
    <w:rsid w:val="00C31A2B"/>
    <w:rsid w:val="00C5671A"/>
    <w:rsid w:val="00C63972"/>
    <w:rsid w:val="00C7289A"/>
    <w:rsid w:val="00CC0FD1"/>
    <w:rsid w:val="00CC37D9"/>
    <w:rsid w:val="00CC3F37"/>
    <w:rsid w:val="00CE1937"/>
    <w:rsid w:val="00CF0A53"/>
    <w:rsid w:val="00D00FAC"/>
    <w:rsid w:val="00D14CA4"/>
    <w:rsid w:val="00D23483"/>
    <w:rsid w:val="00D57611"/>
    <w:rsid w:val="00D60878"/>
    <w:rsid w:val="00D66E73"/>
    <w:rsid w:val="00D76165"/>
    <w:rsid w:val="00D94721"/>
    <w:rsid w:val="00DA26FC"/>
    <w:rsid w:val="00DD3E8D"/>
    <w:rsid w:val="00DF2448"/>
    <w:rsid w:val="00DF3707"/>
    <w:rsid w:val="00DF3DA6"/>
    <w:rsid w:val="00E02FF0"/>
    <w:rsid w:val="00E07BE3"/>
    <w:rsid w:val="00E30124"/>
    <w:rsid w:val="00E445F8"/>
    <w:rsid w:val="00E545A7"/>
    <w:rsid w:val="00E72692"/>
    <w:rsid w:val="00E91953"/>
    <w:rsid w:val="00E94946"/>
    <w:rsid w:val="00EA013C"/>
    <w:rsid w:val="00EA52C6"/>
    <w:rsid w:val="00EB3C2C"/>
    <w:rsid w:val="00ED217B"/>
    <w:rsid w:val="00EE0C96"/>
    <w:rsid w:val="00EE1589"/>
    <w:rsid w:val="00F2323A"/>
    <w:rsid w:val="00F3546A"/>
    <w:rsid w:val="00F35B41"/>
    <w:rsid w:val="00F44B59"/>
    <w:rsid w:val="00F55F4B"/>
    <w:rsid w:val="00F609A7"/>
    <w:rsid w:val="00F81FB0"/>
    <w:rsid w:val="00F851A5"/>
    <w:rsid w:val="00F961E2"/>
    <w:rsid w:val="00FA0BA4"/>
    <w:rsid w:val="00FA6A69"/>
    <w:rsid w:val="00FB1815"/>
    <w:rsid w:val="00FC3A39"/>
    <w:rsid w:val="00FC4745"/>
    <w:rsid w:val="00FF44AC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D5C0"/>
  <w15:chartTrackingRefBased/>
  <w15:docId w15:val="{9DBFC588-A6A1-46EC-9278-616CF444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AC"/>
  </w:style>
  <w:style w:type="paragraph" w:styleId="Heading3">
    <w:name w:val="heading 3"/>
    <w:basedOn w:val="Normal"/>
    <w:link w:val="Heading3Char"/>
    <w:uiPriority w:val="9"/>
    <w:qFormat/>
    <w:rsid w:val="002D0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4">
    <w:name w:val="Grid Table 2 Accent 4"/>
    <w:basedOn w:val="TableNormal"/>
    <w:uiPriority w:val="47"/>
    <w:rsid w:val="00FF44A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0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81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B716A"/>
    <w:rPr>
      <w:i/>
      <w:iCs/>
    </w:rPr>
  </w:style>
  <w:style w:type="paragraph" w:styleId="ListParagraph">
    <w:name w:val="List Paragraph"/>
    <w:basedOn w:val="Normal"/>
    <w:uiPriority w:val="34"/>
    <w:qFormat/>
    <w:rsid w:val="008C4BA8"/>
    <w:pPr>
      <w:ind w:left="720"/>
      <w:contextualSpacing/>
    </w:pPr>
  </w:style>
  <w:style w:type="paragraph" w:customStyle="1" w:styleId="Body">
    <w:name w:val="Body"/>
    <w:basedOn w:val="Normal"/>
    <w:link w:val="BodyChar"/>
    <w:qFormat/>
    <w:rsid w:val="002D0027"/>
    <w:pPr>
      <w:spacing w:before="120" w:after="120" w:line="276" w:lineRule="auto"/>
    </w:pPr>
    <w:rPr>
      <w:rFonts w:ascii="Source Sans Pro" w:eastAsia="Calibri" w:hAnsi="Source Sans Pro" w:cs="Times New Roman"/>
      <w:color w:val="414042"/>
      <w:sz w:val="20"/>
      <w:szCs w:val="20"/>
    </w:rPr>
  </w:style>
  <w:style w:type="character" w:customStyle="1" w:styleId="BodyChar">
    <w:name w:val="Body Char"/>
    <w:link w:val="Body"/>
    <w:rsid w:val="002D0027"/>
    <w:rPr>
      <w:rFonts w:ascii="Source Sans Pro" w:eastAsia="Calibri" w:hAnsi="Source Sans Pro" w:cs="Times New Roman"/>
      <w:color w:val="41404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D00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D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3945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Stretton</dc:creator>
  <cp:keywords/>
  <dc:description/>
  <cp:lastModifiedBy>Christina Stretton</cp:lastModifiedBy>
  <cp:revision>41</cp:revision>
  <cp:lastPrinted>2021-05-12T14:40:00Z</cp:lastPrinted>
  <dcterms:created xsi:type="dcterms:W3CDTF">2021-05-12T15:04:00Z</dcterms:created>
  <dcterms:modified xsi:type="dcterms:W3CDTF">2021-05-12T16:58:00Z</dcterms:modified>
</cp:coreProperties>
</file>