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AF" w:rsidRPr="0044786A" w:rsidRDefault="004B4CED" w:rsidP="0044786A">
      <w:pPr>
        <w:pStyle w:val="Body"/>
        <w:tabs>
          <w:tab w:val="left" w:pos="0"/>
        </w:tabs>
        <w:rPr>
          <w:rFonts w:cs="Calibri"/>
          <w:color w:val="16C3F4"/>
          <w:sz w:val="40"/>
          <w:szCs w:val="40"/>
        </w:rPr>
      </w:pPr>
      <w:r>
        <w:rPr>
          <w:rFonts w:cs="Calibri"/>
          <w:color w:val="16C3F4"/>
          <w:sz w:val="40"/>
          <w:szCs w:val="40"/>
        </w:rPr>
        <w:t>Transaction Lookup</w:t>
      </w:r>
      <w:bookmarkStart w:id="0" w:name="_GoBack"/>
      <w:bookmarkEnd w:id="0"/>
    </w:p>
    <w:p w:rsidR="00C4254A" w:rsidRPr="00C4254A" w:rsidRDefault="00C4254A" w:rsidP="00C4254A">
      <w:pPr>
        <w:pStyle w:val="ContentSubheading"/>
        <w:rPr>
          <w:rFonts w:asciiTheme="minorHAnsi" w:hAnsiTheme="minorHAnsi" w:cs="Times New Roman"/>
          <w:b w:val="0"/>
          <w:color w:val="414042"/>
          <w:szCs w:val="28"/>
        </w:rPr>
      </w:pPr>
      <w:r w:rsidRPr="00C4254A">
        <w:rPr>
          <w:rFonts w:asciiTheme="minorHAnsi" w:hAnsiTheme="minorHAnsi" w:cs="Times New Roman"/>
          <w:b w:val="0"/>
          <w:color w:val="414042"/>
          <w:szCs w:val="28"/>
        </w:rPr>
        <w:t>Epicor: Uh, Kayla, you look lost. What’s going on?</w:t>
      </w:r>
    </w:p>
    <w:p w:rsidR="00C4254A" w:rsidRDefault="00C4254A" w:rsidP="00C4254A">
      <w:pPr>
        <w:pStyle w:val="ContentSubheading"/>
        <w:rPr>
          <w:rFonts w:asciiTheme="minorHAnsi" w:hAnsiTheme="minorHAnsi" w:cs="Times New Roman"/>
          <w:b w:val="0"/>
          <w:color w:val="414042"/>
          <w:szCs w:val="28"/>
        </w:rPr>
      </w:pPr>
    </w:p>
    <w:p w:rsidR="00C4254A" w:rsidRPr="00C4254A" w:rsidRDefault="00C4254A" w:rsidP="00C4254A">
      <w:pPr>
        <w:pStyle w:val="ContentSubheading"/>
        <w:rPr>
          <w:rFonts w:asciiTheme="minorHAnsi" w:hAnsiTheme="minorHAnsi" w:cs="Times New Roman"/>
          <w:b w:val="0"/>
          <w:color w:val="414042"/>
          <w:szCs w:val="28"/>
        </w:rPr>
      </w:pPr>
      <w:r>
        <w:rPr>
          <w:rFonts w:asciiTheme="minorHAnsi" w:hAnsiTheme="minorHAnsi" w:cs="Times New Roman"/>
          <w:b w:val="0"/>
          <w:color w:val="414042"/>
          <w:szCs w:val="28"/>
        </w:rPr>
        <w:t>Kayla</w:t>
      </w:r>
      <w:r w:rsidRPr="00C4254A">
        <w:rPr>
          <w:rFonts w:asciiTheme="minorHAnsi" w:hAnsiTheme="minorHAnsi" w:cs="Times New Roman"/>
          <w:b w:val="0"/>
          <w:color w:val="414042"/>
          <w:szCs w:val="28"/>
        </w:rPr>
        <w:t xml:space="preserve">: Well, I processed a bunch of transactions, but now I don’t know where to find them in Eagle. </w:t>
      </w:r>
    </w:p>
    <w:p w:rsidR="00C4254A" w:rsidRDefault="00C4254A" w:rsidP="00C4254A">
      <w:pPr>
        <w:pStyle w:val="ContentSubheading"/>
        <w:rPr>
          <w:rFonts w:asciiTheme="minorHAnsi" w:hAnsiTheme="minorHAnsi" w:cs="Times New Roman"/>
          <w:b w:val="0"/>
          <w:color w:val="414042"/>
          <w:szCs w:val="28"/>
        </w:rPr>
      </w:pPr>
    </w:p>
    <w:p w:rsidR="00C4254A" w:rsidRDefault="00C4254A" w:rsidP="00C4254A">
      <w:pPr>
        <w:pStyle w:val="ContentSubheading"/>
        <w:rPr>
          <w:rFonts w:asciiTheme="minorHAnsi" w:hAnsiTheme="minorHAnsi" w:cs="Times New Roman"/>
          <w:b w:val="0"/>
          <w:color w:val="414042"/>
          <w:szCs w:val="28"/>
        </w:rPr>
      </w:pPr>
      <w:r w:rsidRPr="00C4254A">
        <w:rPr>
          <w:rFonts w:asciiTheme="minorHAnsi" w:hAnsiTheme="minorHAnsi" w:cs="Times New Roman"/>
          <w:b w:val="0"/>
          <w:color w:val="414042"/>
          <w:szCs w:val="28"/>
        </w:rPr>
        <w:t>Epicor: No worries, that’s an quick fix! Looking up transactions in Eagle is easy. Choose one of the buttons and we’ll take a closer look at the different ways you can locate them.</w:t>
      </w:r>
    </w:p>
    <w:p w:rsidR="00C4254A" w:rsidRDefault="00C4254A" w:rsidP="00C4254A">
      <w:pPr>
        <w:pStyle w:val="ContentSubheading"/>
        <w:rPr>
          <w:rFonts w:asciiTheme="minorHAnsi" w:hAnsiTheme="minorHAnsi" w:cs="Times New Roman"/>
          <w:b w:val="0"/>
          <w:color w:val="414042"/>
          <w:szCs w:val="28"/>
        </w:rPr>
      </w:pPr>
    </w:p>
    <w:p w:rsidR="00AE72F3" w:rsidRDefault="0044786A" w:rsidP="00C4254A">
      <w:pPr>
        <w:pStyle w:val="ContentSubheading"/>
      </w:pPr>
      <w:r>
        <w:t>Topics:</w:t>
      </w:r>
    </w:p>
    <w:p w:rsidR="0044786A" w:rsidRDefault="00C4254A" w:rsidP="0044786A">
      <w:pPr>
        <w:pStyle w:val="Body"/>
        <w:numPr>
          <w:ilvl w:val="0"/>
          <w:numId w:val="23"/>
        </w:numPr>
        <w:rPr>
          <w:sz w:val="28"/>
          <w:szCs w:val="28"/>
        </w:rPr>
      </w:pPr>
      <w:r>
        <w:rPr>
          <w:sz w:val="28"/>
          <w:szCs w:val="28"/>
        </w:rPr>
        <w:t>Quick Recall</w:t>
      </w:r>
    </w:p>
    <w:p w:rsidR="0044786A" w:rsidRDefault="00C4254A" w:rsidP="0044786A">
      <w:pPr>
        <w:pStyle w:val="Body"/>
        <w:numPr>
          <w:ilvl w:val="0"/>
          <w:numId w:val="23"/>
        </w:numPr>
        <w:rPr>
          <w:sz w:val="28"/>
          <w:szCs w:val="28"/>
        </w:rPr>
      </w:pPr>
      <w:r>
        <w:rPr>
          <w:sz w:val="28"/>
          <w:szCs w:val="28"/>
        </w:rPr>
        <w:t>Order Detail Viewer</w:t>
      </w:r>
    </w:p>
    <w:p w:rsidR="0044786A" w:rsidRPr="00C4254A" w:rsidRDefault="00C4254A" w:rsidP="00C4254A">
      <w:pPr>
        <w:pStyle w:val="Body"/>
        <w:numPr>
          <w:ilvl w:val="0"/>
          <w:numId w:val="23"/>
        </w:numPr>
        <w:rPr>
          <w:sz w:val="28"/>
          <w:szCs w:val="28"/>
        </w:rPr>
      </w:pPr>
      <w:r>
        <w:rPr>
          <w:sz w:val="28"/>
          <w:szCs w:val="28"/>
        </w:rPr>
        <w:t>Daily Journal Viewer</w:t>
      </w:r>
    </w:p>
    <w:p w:rsidR="0044786A" w:rsidRDefault="0044786A" w:rsidP="0044786A">
      <w:pPr>
        <w:pStyle w:val="Body"/>
        <w:rPr>
          <w:sz w:val="28"/>
          <w:szCs w:val="28"/>
        </w:rPr>
      </w:pPr>
    </w:p>
    <w:p w:rsidR="0044786A" w:rsidRDefault="00C4254A" w:rsidP="0044786A">
      <w:pPr>
        <w:pStyle w:val="ContentSubheading"/>
      </w:pPr>
      <w:r>
        <w:t>Quick Recall</w:t>
      </w:r>
    </w:p>
    <w:p w:rsidR="00C4254A" w:rsidRPr="00C4254A" w:rsidRDefault="00C4254A" w:rsidP="00C4254A">
      <w:pPr>
        <w:pStyle w:val="Body"/>
        <w:rPr>
          <w:sz w:val="28"/>
          <w:szCs w:val="28"/>
        </w:rPr>
      </w:pPr>
      <w:r w:rsidRPr="00C4254A">
        <w:rPr>
          <w:sz w:val="28"/>
          <w:szCs w:val="28"/>
        </w:rPr>
        <w:t>One of the best ways to review documents is through the Quick Recall Viewer. From the Eagle Browser, select Sales Review and then click Quick Recall Viewer. Or type QR in the Launch Bar and press Enter.</w:t>
      </w:r>
    </w:p>
    <w:p w:rsidR="00C4254A" w:rsidRPr="00C4254A" w:rsidRDefault="00C4254A" w:rsidP="00C4254A">
      <w:pPr>
        <w:pStyle w:val="Body"/>
        <w:rPr>
          <w:sz w:val="28"/>
          <w:szCs w:val="28"/>
        </w:rPr>
      </w:pPr>
      <w:r w:rsidRPr="00C4254A">
        <w:rPr>
          <w:sz w:val="28"/>
          <w:szCs w:val="28"/>
        </w:rPr>
        <w:t xml:space="preserve">If you happen to be in Point of Sale or Customer Maintenance, you can select Quick Recall from the ribbon menu. Once in Quick Recall, use the header fields to limit what the grid displays. </w:t>
      </w:r>
      <w:r>
        <w:rPr>
          <w:sz w:val="28"/>
          <w:szCs w:val="28"/>
        </w:rPr>
        <w:t>T</w:t>
      </w:r>
      <w:r w:rsidRPr="00C4254A">
        <w:rPr>
          <w:sz w:val="28"/>
          <w:szCs w:val="28"/>
        </w:rPr>
        <w:t xml:space="preserve">o locate a specific customer, enter their account number, phone number, or email address in the customer box.  </w:t>
      </w:r>
    </w:p>
    <w:p w:rsidR="00C4254A" w:rsidRPr="00C4254A" w:rsidRDefault="00C4254A" w:rsidP="00C4254A">
      <w:pPr>
        <w:pStyle w:val="Body"/>
        <w:rPr>
          <w:sz w:val="28"/>
          <w:szCs w:val="28"/>
        </w:rPr>
      </w:pPr>
      <w:r w:rsidRPr="00C4254A">
        <w:rPr>
          <w:sz w:val="28"/>
          <w:szCs w:val="28"/>
        </w:rPr>
        <w:t xml:space="preserve">Enter the Job number, SKU, or store number to further limit the search. To view transactions based on a specified date range, click the Change Lookup link and select Cust/Date Range. Then press OK. </w:t>
      </w:r>
    </w:p>
    <w:p w:rsidR="00C4254A" w:rsidRPr="00C4254A" w:rsidRDefault="00C4254A" w:rsidP="00C4254A">
      <w:pPr>
        <w:pStyle w:val="Body"/>
        <w:rPr>
          <w:sz w:val="28"/>
          <w:szCs w:val="28"/>
        </w:rPr>
      </w:pPr>
      <w:r w:rsidRPr="00C4254A">
        <w:rPr>
          <w:sz w:val="28"/>
          <w:szCs w:val="28"/>
        </w:rPr>
        <w:t>Use the Transaction Date and Thru fields to set a date range.</w:t>
      </w:r>
      <w:r>
        <w:rPr>
          <w:sz w:val="28"/>
          <w:szCs w:val="28"/>
        </w:rPr>
        <w:t xml:space="preserve"> </w:t>
      </w:r>
      <w:r w:rsidRPr="00C4254A">
        <w:rPr>
          <w:sz w:val="28"/>
          <w:szCs w:val="28"/>
        </w:rPr>
        <w:t>Select Yes in the Details Dropdown to view a detailed record of the items purchased as well as their quantity and price.  Then press refresh to apply any changes. To search for a specific document number, enter a period, followed by the document number.</w:t>
      </w:r>
      <w:r w:rsidRPr="00C4254A">
        <w:t xml:space="preserve"> </w:t>
      </w:r>
      <w:r w:rsidRPr="00C4254A">
        <w:rPr>
          <w:sz w:val="28"/>
          <w:szCs w:val="28"/>
        </w:rPr>
        <w:t xml:space="preserve">You can use the available grid filters to find your document on the bottom half of the screen. Select the line and press Display or just double-click the line. </w:t>
      </w:r>
    </w:p>
    <w:p w:rsidR="00C4254A" w:rsidRPr="00C4254A" w:rsidRDefault="00C4254A" w:rsidP="00C4254A">
      <w:pPr>
        <w:pStyle w:val="Body"/>
        <w:rPr>
          <w:sz w:val="28"/>
          <w:szCs w:val="28"/>
        </w:rPr>
      </w:pPr>
      <w:r>
        <w:rPr>
          <w:sz w:val="28"/>
          <w:szCs w:val="28"/>
        </w:rPr>
        <w:t>F</w:t>
      </w:r>
      <w:r w:rsidRPr="00C4254A">
        <w:rPr>
          <w:sz w:val="28"/>
          <w:szCs w:val="28"/>
        </w:rPr>
        <w:t xml:space="preserve">rom the Document screen, select Image. Here you can view the receipt or invoice. Select the Print button to print a copy. To email the document, select Miscellaneous, and then press Email Receipt to Customer. </w:t>
      </w:r>
    </w:p>
    <w:p w:rsidR="00C4254A" w:rsidRPr="00C4254A" w:rsidRDefault="00C4254A" w:rsidP="00C4254A">
      <w:pPr>
        <w:pStyle w:val="Body"/>
        <w:rPr>
          <w:sz w:val="28"/>
          <w:szCs w:val="28"/>
        </w:rPr>
      </w:pPr>
      <w:r w:rsidRPr="00C4254A">
        <w:rPr>
          <w:sz w:val="28"/>
          <w:szCs w:val="28"/>
        </w:rPr>
        <w:t>Enter an Email Message and update the customer’s email if it’s different from the one displayed. Now choose the right Emai</w:t>
      </w:r>
      <w:r>
        <w:rPr>
          <w:sz w:val="28"/>
          <w:szCs w:val="28"/>
        </w:rPr>
        <w:t xml:space="preserve">l Format. </w:t>
      </w:r>
      <w:r w:rsidRPr="00C4254A">
        <w:rPr>
          <w:sz w:val="28"/>
          <w:szCs w:val="28"/>
        </w:rPr>
        <w:t xml:space="preserve">Quick Recall also lets you print documents directly from Point of Sale. From the Point of Sale window, select Quick Recall. Just like before, use the options to locate your document. </w:t>
      </w:r>
    </w:p>
    <w:p w:rsidR="001E6F0B" w:rsidRDefault="00C4254A" w:rsidP="00C4254A">
      <w:pPr>
        <w:pStyle w:val="Body"/>
        <w:rPr>
          <w:sz w:val="28"/>
          <w:szCs w:val="28"/>
        </w:rPr>
      </w:pPr>
      <w:r w:rsidRPr="00C4254A">
        <w:rPr>
          <w:sz w:val="28"/>
          <w:szCs w:val="28"/>
        </w:rPr>
        <w:t xml:space="preserve">Then, press select. Confirm the settings and press OK to print the receipt or invoice. Investigating past transactions or responding to customer requests for copies is easy when you use the power of the Quick Recall grids.    </w:t>
      </w:r>
    </w:p>
    <w:p w:rsidR="00C4254A" w:rsidRDefault="00C4254A" w:rsidP="001E6F0B">
      <w:pPr>
        <w:pStyle w:val="ContentSubheading"/>
      </w:pPr>
    </w:p>
    <w:p w:rsidR="001E6F0B" w:rsidRDefault="00C4254A" w:rsidP="001E6F0B">
      <w:pPr>
        <w:pStyle w:val="ContentSubheading"/>
      </w:pPr>
      <w:r>
        <w:t>Order Detail Viewer</w:t>
      </w:r>
    </w:p>
    <w:p w:rsidR="004B4CED" w:rsidRPr="004B4CED" w:rsidRDefault="004B4CED" w:rsidP="004B4CED">
      <w:pPr>
        <w:pStyle w:val="Body"/>
        <w:rPr>
          <w:sz w:val="28"/>
          <w:szCs w:val="28"/>
        </w:rPr>
      </w:pPr>
      <w:r w:rsidRPr="004B4CED">
        <w:rPr>
          <w:sz w:val="28"/>
          <w:szCs w:val="28"/>
        </w:rPr>
        <w:t xml:space="preserve">There are a few important types of documents you can access from Point of Sale. Start by clicking the Menu button and choose Documents. </w:t>
      </w:r>
    </w:p>
    <w:p w:rsidR="00CB09CA" w:rsidRDefault="004B4CED" w:rsidP="00CB09CA">
      <w:pPr>
        <w:pStyle w:val="Body"/>
        <w:rPr>
          <w:sz w:val="28"/>
          <w:szCs w:val="28"/>
        </w:rPr>
      </w:pPr>
      <w:r w:rsidRPr="004B4CED">
        <w:rPr>
          <w:sz w:val="28"/>
          <w:szCs w:val="28"/>
        </w:rPr>
        <w:t>This viewer allows you to look at Estimates, Layaways, Orders and a few other document types. You can also access Service Orders and the Change log by clicking on the related hyperlinks. Double-click a document to view it in greater detail. To view documents specific to ord</w:t>
      </w:r>
      <w:r>
        <w:rPr>
          <w:sz w:val="28"/>
          <w:szCs w:val="28"/>
        </w:rPr>
        <w:t>e</w:t>
      </w:r>
      <w:r w:rsidRPr="004B4CED">
        <w:rPr>
          <w:sz w:val="28"/>
          <w:szCs w:val="28"/>
        </w:rPr>
        <w:t xml:space="preserve">rs, open the Miscellaneous menu and select View Detail Order. </w:t>
      </w:r>
      <w:r>
        <w:rPr>
          <w:sz w:val="28"/>
          <w:szCs w:val="28"/>
        </w:rPr>
        <w:t>U</w:t>
      </w:r>
      <w:r w:rsidRPr="004B4CED">
        <w:rPr>
          <w:sz w:val="28"/>
          <w:szCs w:val="28"/>
        </w:rPr>
        <w:t>se the various filters to narrow your search. Double click a line to view the document details.</w:t>
      </w:r>
    </w:p>
    <w:p w:rsidR="004B4CED" w:rsidRDefault="004B4CED" w:rsidP="00CB09CA">
      <w:pPr>
        <w:pStyle w:val="Body"/>
        <w:rPr>
          <w:sz w:val="28"/>
          <w:szCs w:val="28"/>
        </w:rPr>
      </w:pPr>
    </w:p>
    <w:p w:rsidR="00CB09CA" w:rsidRDefault="004B4CED" w:rsidP="00CB09CA">
      <w:pPr>
        <w:pStyle w:val="ContentSubheading"/>
      </w:pPr>
      <w:r>
        <w:t>Daily Journal Viewer</w:t>
      </w:r>
    </w:p>
    <w:p w:rsidR="00CB09CA" w:rsidRDefault="00CB09CA" w:rsidP="00CB09CA">
      <w:pPr>
        <w:pStyle w:val="ContentSubheading"/>
      </w:pPr>
    </w:p>
    <w:p w:rsidR="004B4CED" w:rsidRDefault="004B4CED" w:rsidP="004B4CED">
      <w:pPr>
        <w:spacing w:after="120"/>
        <w:ind w:left="0"/>
        <w:contextualSpacing/>
        <w:rPr>
          <w:rFonts w:asciiTheme="minorHAnsi" w:hAnsiTheme="minorHAnsi"/>
          <w:sz w:val="28"/>
          <w:szCs w:val="28"/>
        </w:rPr>
      </w:pPr>
      <w:r w:rsidRPr="004B4CED">
        <w:rPr>
          <w:rFonts w:asciiTheme="minorHAnsi" w:hAnsiTheme="minorHAnsi"/>
          <w:sz w:val="28"/>
          <w:szCs w:val="28"/>
        </w:rPr>
        <w:t xml:space="preserve">The Daily Journal Viewer lets you look up multiple transactions in one location. From the Eagle Browser, select Sales Review, and then Daily Journal Viewer. You can also type DJ in the launch bar and press Enter.  </w:t>
      </w:r>
    </w:p>
    <w:p w:rsidR="004B4CED" w:rsidRPr="004B4CED" w:rsidRDefault="004B4CED" w:rsidP="004B4CED">
      <w:pPr>
        <w:spacing w:after="120"/>
        <w:ind w:left="0"/>
        <w:contextualSpacing/>
        <w:rPr>
          <w:rFonts w:asciiTheme="minorHAnsi" w:hAnsiTheme="minorHAnsi"/>
          <w:sz w:val="28"/>
          <w:szCs w:val="28"/>
        </w:rPr>
      </w:pPr>
      <w:r>
        <w:rPr>
          <w:rFonts w:asciiTheme="minorHAnsi" w:hAnsiTheme="minorHAnsi"/>
          <w:sz w:val="28"/>
          <w:szCs w:val="28"/>
        </w:rPr>
        <w:t>U</w:t>
      </w:r>
      <w:r w:rsidRPr="004B4CED">
        <w:rPr>
          <w:rFonts w:asciiTheme="minorHAnsi" w:hAnsiTheme="minorHAnsi"/>
          <w:sz w:val="28"/>
          <w:szCs w:val="28"/>
        </w:rPr>
        <w:t xml:space="preserve">se the header fields to limit what displays in the grid. </w:t>
      </w:r>
      <w:r>
        <w:rPr>
          <w:rFonts w:asciiTheme="minorHAnsi" w:hAnsiTheme="minorHAnsi"/>
          <w:sz w:val="28"/>
          <w:szCs w:val="28"/>
        </w:rPr>
        <w:t>F</w:t>
      </w:r>
      <w:r w:rsidRPr="004B4CED">
        <w:rPr>
          <w:rFonts w:asciiTheme="minorHAnsi" w:hAnsiTheme="minorHAnsi"/>
          <w:sz w:val="28"/>
          <w:szCs w:val="28"/>
        </w:rPr>
        <w:t>or example, you can enter a Start Date, End Date, or a specific Clerk.</w:t>
      </w:r>
      <w:r>
        <w:rPr>
          <w:rFonts w:asciiTheme="minorHAnsi" w:hAnsiTheme="minorHAnsi"/>
          <w:sz w:val="28"/>
          <w:szCs w:val="28"/>
        </w:rPr>
        <w:t xml:space="preserve"> </w:t>
      </w:r>
      <w:r w:rsidRPr="004B4CED">
        <w:rPr>
          <w:rFonts w:asciiTheme="minorHAnsi" w:hAnsiTheme="minorHAnsi"/>
          <w:sz w:val="28"/>
          <w:szCs w:val="28"/>
        </w:rPr>
        <w:t xml:space="preserve">You can further limit results by selecting the Tender, which refers to whether they paid by Credit Card, Cash, or by some other method. </w:t>
      </w:r>
    </w:p>
    <w:p w:rsidR="00637515" w:rsidRPr="004B4CED" w:rsidRDefault="004B4CED" w:rsidP="004B4CED">
      <w:pPr>
        <w:spacing w:after="120"/>
        <w:ind w:left="0"/>
        <w:contextualSpacing/>
        <w:rPr>
          <w:rFonts w:asciiTheme="minorHAnsi" w:hAnsiTheme="minorHAnsi"/>
          <w:sz w:val="28"/>
          <w:szCs w:val="28"/>
        </w:rPr>
      </w:pPr>
      <w:r>
        <w:rPr>
          <w:rFonts w:asciiTheme="minorHAnsi" w:hAnsiTheme="minorHAnsi"/>
          <w:sz w:val="28"/>
          <w:szCs w:val="28"/>
        </w:rPr>
        <w:t>Y</w:t>
      </w:r>
      <w:r w:rsidRPr="004B4CED">
        <w:rPr>
          <w:rFonts w:asciiTheme="minorHAnsi" w:hAnsiTheme="minorHAnsi"/>
          <w:sz w:val="28"/>
          <w:szCs w:val="28"/>
        </w:rPr>
        <w:t>ou can also use Origin to identify transactions done from the back office or Point of Sale. Press refresh on the ribbon menu to view your selections. Double click any document in the list to view the transaction‘s details.</w:t>
      </w:r>
      <w:r>
        <w:rPr>
          <w:rFonts w:asciiTheme="minorHAnsi" w:hAnsiTheme="minorHAnsi"/>
          <w:sz w:val="28"/>
          <w:szCs w:val="28"/>
        </w:rPr>
        <w:t xml:space="preserve"> </w:t>
      </w:r>
      <w:r w:rsidRPr="004B4CED">
        <w:rPr>
          <w:rFonts w:asciiTheme="minorHAnsi" w:hAnsiTheme="minorHAnsi"/>
          <w:sz w:val="28"/>
          <w:szCs w:val="28"/>
        </w:rPr>
        <w:t>With completed POS transactions, you will als</w:t>
      </w:r>
      <w:r>
        <w:rPr>
          <w:rFonts w:asciiTheme="minorHAnsi" w:hAnsiTheme="minorHAnsi"/>
          <w:sz w:val="28"/>
          <w:szCs w:val="28"/>
        </w:rPr>
        <w:t xml:space="preserve">o be able to view the receipt. </w:t>
      </w:r>
      <w:r w:rsidRPr="004B4CED">
        <w:rPr>
          <w:rFonts w:asciiTheme="minorHAnsi" w:hAnsiTheme="minorHAnsi"/>
          <w:sz w:val="28"/>
          <w:szCs w:val="28"/>
        </w:rPr>
        <w:t>Now you can easily review the transactions of a specific cashier, isolate balancing issues, or see a weeks’ worth of transactions in one place.</w:t>
      </w:r>
    </w:p>
    <w:p w:rsidR="00637515" w:rsidRDefault="00637515" w:rsidP="00637515">
      <w:pPr>
        <w:spacing w:after="120"/>
        <w:contextualSpacing/>
        <w:rPr>
          <w:rFonts w:ascii="Calibri" w:hAnsi="Calibri"/>
        </w:rPr>
      </w:pPr>
    </w:p>
    <w:p w:rsidR="00637515" w:rsidRPr="00637515" w:rsidRDefault="00637515" w:rsidP="00637515">
      <w:pPr>
        <w:pStyle w:val="Body"/>
        <w:rPr>
          <w:sz w:val="28"/>
          <w:szCs w:val="28"/>
        </w:rPr>
        <w:sectPr w:rsidR="00637515" w:rsidRPr="00637515" w:rsidSect="005D00FA">
          <w:headerReference w:type="default" r:id="rId11"/>
          <w:footerReference w:type="default" r:id="rId12"/>
          <w:pgSz w:w="12240" w:h="15840"/>
          <w:pgMar w:top="1440" w:right="1440" w:bottom="990" w:left="1440" w:header="432" w:footer="432" w:gutter="0"/>
          <w:pgNumType w:start="1"/>
          <w:cols w:space="720"/>
          <w:docGrid w:linePitch="360"/>
        </w:sectPr>
      </w:pPr>
    </w:p>
    <w:p w:rsidR="00995128" w:rsidRPr="00981167" w:rsidRDefault="00506239" w:rsidP="00995128">
      <w:pPr>
        <w:pStyle w:val="NumberingBullets"/>
        <w:numPr>
          <w:ilvl w:val="0"/>
          <w:numId w:val="0"/>
        </w:numPr>
        <w:ind w:left="1944"/>
      </w:pPr>
      <w:r w:rsidRPr="00506239">
        <w:t>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2016 Epicor Software Corporation. All rights reserved.</w:t>
      </w:r>
    </w:p>
    <w:p w:rsidR="00827330" w:rsidRDefault="00827330" w:rsidP="001D0C66">
      <w:pPr>
        <w:pStyle w:val="Body"/>
      </w:pPr>
    </w:p>
    <w:sectPr w:rsidR="00827330"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2A6" w:rsidRDefault="007B42A6" w:rsidP="001B1F68">
      <w:pPr>
        <w:spacing w:line="240" w:lineRule="auto"/>
      </w:pPr>
      <w:r>
        <w:separator/>
      </w:r>
    </w:p>
    <w:p w:rsidR="007B42A6" w:rsidRDefault="007B42A6"/>
    <w:p w:rsidR="007B42A6" w:rsidRDefault="007B42A6" w:rsidP="00A13D7A"/>
  </w:endnote>
  <w:endnote w:type="continuationSeparator" w:id="0">
    <w:p w:rsidR="007B42A6" w:rsidRDefault="007B42A6" w:rsidP="001B1F68">
      <w:pPr>
        <w:spacing w:line="240" w:lineRule="auto"/>
      </w:pPr>
      <w:r>
        <w:continuationSeparator/>
      </w:r>
    </w:p>
    <w:p w:rsidR="007B42A6" w:rsidRDefault="007B42A6"/>
    <w:p w:rsidR="007B42A6" w:rsidRDefault="007B42A6"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00"/>
    <w:family w:val="auto"/>
    <w:pitch w:val="variable"/>
    <w:sig w:usb0="00000803" w:usb1="00000000" w:usb2="00000000" w:usb3="00000000" w:csb0="00000021"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3F" w:rsidRDefault="00CF4D7A" w:rsidP="001A1F3F">
    <w:pPr>
      <w:pStyle w:val="ForInternalUse-footnote"/>
    </w:pPr>
    <w:r>
      <w:rPr>
        <w:noProof/>
      </w:rPr>
      <w:drawing>
        <wp:anchor distT="0" distB="0" distL="114300" distR="114300" simplePos="0" relativeHeight="251720192" behindDoc="0" locked="0" layoutInCell="1" allowOverlap="1" wp14:anchorId="238200F8" wp14:editId="4D6BEFB4">
          <wp:simplePos x="0" y="0"/>
          <wp:positionH relativeFrom="margin">
            <wp:posOffset>-647700</wp:posOffset>
          </wp:positionH>
          <wp:positionV relativeFrom="margin">
            <wp:posOffset>8315325</wp:posOffset>
          </wp:positionV>
          <wp:extent cx="1524000" cy="554355"/>
          <wp:effectExtent l="0" t="0" r="0" b="0"/>
          <wp:wrapSquare wrapText="bothSides"/>
          <wp:docPr id="5" name="Picture 5"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F3F" w:rsidRDefault="001A1F3F" w:rsidP="001A1F3F">
    <w:pPr>
      <w:pStyle w:val="Footer"/>
      <w:tabs>
        <w:tab w:val="clear" w:pos="4680"/>
        <w:tab w:val="clear" w:pos="9360"/>
        <w:tab w:val="right" w:pos="10080"/>
      </w:tabs>
      <w:ind w:left="0"/>
    </w:pPr>
    <w:r>
      <w:rPr>
        <w:noProof/>
      </w:rPr>
      <mc:AlternateContent>
        <mc:Choice Requires="wps">
          <w:drawing>
            <wp:anchor distT="0" distB="0" distL="114300" distR="114300" simplePos="0" relativeHeight="251719168" behindDoc="0" locked="0" layoutInCell="1" allowOverlap="1" wp14:anchorId="40D79C6A" wp14:editId="2A98680C">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CA26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Pr>
        <w:noProof/>
      </w:rPr>
      <mc:AlternateContent>
        <mc:Choice Requires="wps">
          <w:drawing>
            <wp:anchor distT="0" distB="0" distL="114300" distR="114300" simplePos="0" relativeHeight="251721216" behindDoc="0" locked="1" layoutInCell="1" allowOverlap="1" wp14:anchorId="33DC7086" wp14:editId="2AD58831">
              <wp:simplePos x="0" y="0"/>
              <wp:positionH relativeFrom="column">
                <wp:posOffset>-1288415</wp:posOffset>
              </wp:positionH>
              <wp:positionV relativeFrom="page">
                <wp:posOffset>9364345</wp:posOffset>
              </wp:positionV>
              <wp:extent cx="9966960" cy="0"/>
              <wp:effectExtent l="0" t="19050" r="152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F582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C5423"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hJAIAAD4EAAAOAAAAZHJzL2Uyb0RvYy54bWysU9uO2yAQfa/Uf0C8J77U8SZWnNXKTvqy&#10;7Uba7QcQwDaqDQhInKjqv3cgF23al6rqCx7MzJkzM2eWj8ehRwdurFCyxMk0xohLqpiQbYm/vW0m&#10;c4ysI5KRXkle4hO3+HH18cNy1AVPVad6xg0CEGmLUZe4c04XUWRpxwdip0pzCY+NMgNxcDVtxAwZ&#10;AX3oozSO82hUhmmjKLcW/tbnR7wK+E3DqXtpGssd6ksM3Fw4TTh3/oxWS1K0huhO0AsN8g8sBiIk&#10;JL1B1cQRtDfiD6hBUKOsatyUqiFSTSMoDzVANUn8WzWvHdE81ALNsfrWJvv/YOnXw9YgwUqcZhhJ&#10;MsCMnvZOhdRolvsGjdoW4FfJrfEl0qN81c+KfrdIqqojsuXB++2kITjxEdFdiL9YDWl24xfFwIdA&#10;gtCtY2MGDwl9QMcwlNNtKPzoEIWfi0WeL3KYHb2+RaS4Bmpj3WeuBuSNEltniGg7VykpYfTKJCEN&#10;OTxb52mR4hrgs0q1EX0fFNBLNJZ49pDM4hBhVS+Yf/V+1rS7qjfoQEBEm9k8TYNuAO3Ozai9ZAGt&#10;44StL7Yjoj/b4N9LjweVAZ+LdVbJj0W8WM/X82ySpfl6ksV1PXnaVNkk3yQPs/pTXVV18tNTS7Ki&#10;E4xx6dldFZtkf6eIy+6ctXbT7K0P0T16aBiQvX4D6TBaP82zLnaKnbbmOnIQaXC+LJTfgvd3sN+v&#10;/eoXAAAA//8DAFBLAwQUAAYACAAAACEAQGi58+EAAAAPAQAADwAAAGRycy9kb3ducmV2LnhtbEyP&#10;MU/DMBCFdyT+g3VIbK1DGqU0jVMBUsXCQEMXNjc5kgj7HGK3Tf491wGV7e7e07vv5ZvRGnHCwXeO&#10;FDzMIxBIlas7ahTsP7azRxA+aKq1cYQKJvSwKW5vcp3V7kw7PJWhERxCPtMK2hD6TEpftWi1n7se&#10;ibUvN1gdeB0aWQ/6zOHWyDiKUml1R/yh1T2+tFh9l0er4J1e9+VzX5WfmPws3sxu2rpmUur+bnxa&#10;gwg4hqsZLviMDgUzHdyRai+MglkcxSv2spIskyWIi2eRpjwd/m6yyOX/HsUvAAAA//8DAFBLAQIt&#10;ABQABgAIAAAAIQC2gziS/gAAAOEBAAATAAAAAAAAAAAAAAAAAAAAAABbQ29udGVudF9UeXBlc10u&#10;eG1sUEsBAi0AFAAGAAgAAAAhADj9If/WAAAAlAEAAAsAAAAAAAAAAAAAAAAALwEAAF9yZWxzLy5y&#10;ZWxzUEsBAi0AFAAGAAgAAAAhAEW74GEkAgAAPgQAAA4AAAAAAAAAAAAAAAAALgIAAGRycy9lMm9E&#10;b2MueG1sUEsBAi0AFAAGAAgAAAAhAEBoufPhAAAADwEAAA8AAAAAAAAAAAAAAAAAfgQAAGRycy9k&#10;b3ducmV2LnhtbFBLBQYAAAAABAAEAPMAAACMBQAAAAA=&#10;" strokecolor="#f58220" strokeweight="4.5pt">
              <w10:wrap anchory="page"/>
              <w10:anchorlock/>
            </v:shape>
          </w:pict>
        </mc:Fallback>
      </mc:AlternateContent>
    </w:r>
  </w:p>
  <w:p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4B4CED">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C4254A">
      <w:rPr>
        <w:rFonts w:asciiTheme="minorHAnsi" w:hAnsiTheme="minorHAnsi" w:cstheme="minorHAnsi"/>
        <w:noProof/>
      </w:rPr>
      <w:t>August 13, 2018</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08187B0D" wp14:editId="2E3554D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2BFB4B84" wp14:editId="628CC0A5">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2F3" w:rsidRDefault="0001654A" w:rsidP="0001654A">
                          <w:pPr>
                            <w:pStyle w:val="Body"/>
                            <w:rPr>
                              <w:rStyle w:val="AboutEpicorChar"/>
                            </w:rPr>
                          </w:pPr>
                          <w:r w:rsidRPr="00874593">
                            <w:rPr>
                              <w:rStyle w:val="AboutEpicorChar"/>
                            </w:rPr>
                            <w:t>About Epicor</w:t>
                          </w:r>
                        </w:p>
                        <w:p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B4B84"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rsidR="00BD22F3" w:rsidRDefault="0001654A" w:rsidP="0001654A">
                    <w:pPr>
                      <w:pStyle w:val="Body"/>
                      <w:rPr>
                        <w:rStyle w:val="AboutEpicorChar"/>
                      </w:rPr>
                    </w:pPr>
                    <w:r w:rsidRPr="00874593">
                      <w:rPr>
                        <w:rStyle w:val="AboutEpicorChar"/>
                      </w:rPr>
                      <w:t>About Epicor</w:t>
                    </w:r>
                  </w:p>
                  <w:p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4CC774E6" wp14:editId="1ADC782B">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AA4EF"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16FAD095" wp14:editId="2F209821">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FAD095"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6FuwMAAIoUAAAOAAAAZHJzL2Uyb0RvYy54bWzsWNtu4zYQfS+w/0Dw3ZEoUbYkRFlsknVQ&#10;IG0X2O0H0BJ1wUqkStKR06L/3iEly27sh2KLDTaA/SCLt+HM4ZyZoa7f77oWPXGlGykyTK58jLjI&#10;ZdGIKsO/f1kvYoy0YaJgrRQ8w89c4/c37366HvqUB7KWbcEVAiFCp0Of4dqYPvU8nde8Y/pK9lzA&#10;YClVxww0VeUVig0gvWu9wPeX3iBV0SuZc62h934cxDdOflny3PxWlpob1GYYdDPuqdxzY5/ezTVL&#10;K8X6usknNdg3aNGxRsCms6h7ZhjaquZEVNfkSmpZmqtcdp4syybnzgawhvgvrHlQcts7W6p0qPoZ&#10;JoD2BU7fLDb/9emTQk0BZ4eRYB0ckdsVEQvN0FcpzHhQ/ef+k5o6qrFlrd2VqrP/YAfaOVCfZ1D5&#10;zqAcOpfLJEh8wD6HMUJo6EPDwZ7XcDYn6/L642ElWYanK739xp7Vb1Zn6MGF9AEl/f9Q+lyznjvw&#10;tcVgQilM9jB9sQbeyh2CLoeMm2ZxQmYH/RZRi43uH2X+VSMh72omKv5BKTnUnBWgnwMZrJiXWsg1&#10;LAEhm+EXWcBxsK2RTtBZsEniRxOce8BJQFerVTQCnlDir9yEGTWW9kqbBy47ZF8yrIAlbgf29KgN&#10;2AJT91OcBbJtinXTtq6hqs1dq9ATA0at3c+aD0v08bRW2MlC2mXj8NgDSsIedsyq6xjyVwIa+7dB&#10;slgv49WCrmm0SFZ+vPBJcpssfZrQ+/XfVkFC07opCi4eG8H3bCX0v53zFDdGnjm+oiHDSRRE4zEd&#10;a6+PjQR/nVz2pZFdYyB4tU2X4XiexFJ7uB9FAWaz1LCmHd+9f6vvIAMM9v8OFecK9vRHPzC7zW7i&#10;JgiznrGRxTP4hpJwbEAMCLzwUkv1J0YDBLEM6z+2THGM2p8F+FdCKLVRzzVotAqgoY5HNscjTOQg&#10;KsMGo/H1zoyRcturpqphp9GjhfwAPlk2zlUOWoEltgEUHHX97ly0po0ha+YidE1IAWVfj4sz5SDE&#10;OY9yZz8TMlqRJbjZFAHDkAI7YcaFkS6Tv0lGBns/uzDyKDvSuYg4MHIqJOYU9zrZMYhJQm3VcVqQ&#10;kDAmZKajn0ThhY62Cn3LCTK80PFMsUqD0wQ5B65XTZBQhUaBrUnP0JGMCdFlRyj3CBQpl+T4ptlI&#10;L2w8x8bwlI1z3HpVNkZBGK/g2niOjTQK4hiGXtzWL7Xq261V3WXjcE/78W+P7rsOfPByV6Tp45z9&#10;onbcdrfNwyfEm38AAAD//wMAUEsDBBQABgAIAAAAIQB6hVSa4AAAAA4BAAAPAAAAZHJzL2Rvd25y&#10;ZXYueG1sTE9NS8NAEL0L/odlBG/t5oOoxGxKKeqpCLaCeJtmp0lodjdkt0n6752e7G3eB2/eK1az&#10;6cRIg2+dVRAvIxBkK6dbWyv43r8vXkD4gFZj5ywpuJCHVXl/V2Cu3WS/aNyFWnCI9TkqaELocyl9&#10;1ZBBv3Q9WdaObjAYGA611ANOHG46mUTRkzTYWv7QYE+bhqrT7mwUfEw4rdP4bdyejpvL7z77/NnG&#10;pNTjw7x+BRFoDv9muNbn6lByp4M7W+1Fp2CRxLwlsJAmzxmIqyVKU+YOfGURc7Is5O2M8g8AAP//&#10;AwBQSwECLQAUAAYACAAAACEAtoM4kv4AAADhAQAAEwAAAAAAAAAAAAAAAAAAAAAAW0NvbnRlbnRf&#10;VHlwZXNdLnhtbFBLAQItABQABgAIAAAAIQA4/SH/1gAAAJQBAAALAAAAAAAAAAAAAAAAAC8BAABf&#10;cmVscy8ucmVsc1BLAQItABQABgAIAAAAIQApWf6FuwMAAIoUAAAOAAAAAAAAAAAAAAAAAC4CAABk&#10;cnMvZTJvRG9jLnhtbFBLAQItABQABgAIAAAAIQB6hVSa4AAAAA4BAAAPAAAAAAAAAAAAAAAAABUG&#10;AABkcnMvZG93bnJldi54bWxQSwUGAAAAAAQABADzAAAAIgc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0790614" wp14:editId="0DEAE9D0">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90895"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2A6" w:rsidRDefault="007B42A6" w:rsidP="001B1F68">
      <w:pPr>
        <w:spacing w:line="240" w:lineRule="auto"/>
      </w:pPr>
      <w:r>
        <w:separator/>
      </w:r>
    </w:p>
    <w:p w:rsidR="007B42A6" w:rsidRDefault="007B42A6"/>
    <w:p w:rsidR="007B42A6" w:rsidRDefault="007B42A6" w:rsidP="00A13D7A"/>
  </w:footnote>
  <w:footnote w:type="continuationSeparator" w:id="0">
    <w:p w:rsidR="007B42A6" w:rsidRDefault="007B42A6" w:rsidP="001B1F68">
      <w:pPr>
        <w:spacing w:line="240" w:lineRule="auto"/>
      </w:pPr>
      <w:r>
        <w:continuationSeparator/>
      </w:r>
    </w:p>
    <w:p w:rsidR="007B42A6" w:rsidRDefault="007B42A6"/>
    <w:p w:rsidR="007B42A6" w:rsidRDefault="007B42A6"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FA" w:rsidRDefault="005D00FA">
    <w:pPr>
      <w:pStyle w:val="Header"/>
    </w:pPr>
    <w:r>
      <w:rPr>
        <w:noProof/>
      </w:rPr>
      <w:ptab w:relativeTo="indent" w:alignment="center" w:leader="none"/>
    </w:r>
    <w:r>
      <w:rPr>
        <w:noProof/>
      </w:rPr>
      <w:drawing>
        <wp:inline distT="0" distB="0" distL="0" distR="0" wp14:anchorId="64702EBD" wp14:editId="3EBDEF16">
          <wp:extent cx="1989705" cy="742950"/>
          <wp:effectExtent l="0" t="0" r="0" b="0"/>
          <wp:docPr id="6" name="Picture 6" descr="C:\Users\Clifford.Horowitz\Desktop\epicor-university-logo-03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ord.Horowitz\Desktop\epicor-university-logo-0316-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705"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0B152E72" wp14:editId="46A375C0">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1660BD"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07E91248" wp14:editId="136F0B3B">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A9C464"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027A0"/>
    <w:multiLevelType w:val="hybridMultilevel"/>
    <w:tmpl w:val="AC1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42719"/>
    <w:multiLevelType w:val="hybridMultilevel"/>
    <w:tmpl w:val="4A06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525BE"/>
    <w:multiLevelType w:val="hybridMultilevel"/>
    <w:tmpl w:val="6398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59544255"/>
    <w:multiLevelType w:val="hybridMultilevel"/>
    <w:tmpl w:val="FE2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E23B9"/>
    <w:multiLevelType w:val="hybridMultilevel"/>
    <w:tmpl w:val="2E9C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21"/>
  </w:num>
  <w:num w:numId="4">
    <w:abstractNumId w:val="13"/>
  </w:num>
  <w:num w:numId="5">
    <w:abstractNumId w:val="17"/>
  </w:num>
  <w:num w:numId="6">
    <w:abstractNumId w:val="19"/>
  </w:num>
  <w:num w:numId="7">
    <w:abstractNumId w:val="11"/>
  </w:num>
  <w:num w:numId="8">
    <w:abstractNumId w:val="21"/>
    <w:lvlOverride w:ilvl="0">
      <w:startOverride w:val="1"/>
    </w:lvlOverride>
  </w:num>
  <w:num w:numId="9">
    <w:abstractNumId w:val="21"/>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lvlOverride w:ilvl="0">
      <w:startOverride w:val="1"/>
    </w:lvlOverride>
  </w:num>
  <w:num w:numId="21">
    <w:abstractNumId w:val="12"/>
  </w:num>
  <w:num w:numId="22">
    <w:abstractNumId w:val="10"/>
  </w:num>
  <w:num w:numId="23">
    <w:abstractNumId w:val="15"/>
  </w:num>
  <w:num w:numId="24">
    <w:abstractNumId w:val="18"/>
  </w:num>
  <w:num w:numId="25">
    <w:abstractNumId w:val="14"/>
  </w:num>
  <w:num w:numId="26">
    <w:abstractNumId w:val="20"/>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E6F0B"/>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A26"/>
    <w:rsid w:val="003D3C0A"/>
    <w:rsid w:val="003E1C51"/>
    <w:rsid w:val="003E43AD"/>
    <w:rsid w:val="003E4866"/>
    <w:rsid w:val="003F0141"/>
    <w:rsid w:val="003F03EF"/>
    <w:rsid w:val="003F2BF2"/>
    <w:rsid w:val="004151D2"/>
    <w:rsid w:val="004263EE"/>
    <w:rsid w:val="00432652"/>
    <w:rsid w:val="0044786A"/>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B4CED"/>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E34DC"/>
    <w:rsid w:val="005E4D0D"/>
    <w:rsid w:val="005F72DC"/>
    <w:rsid w:val="00603F9C"/>
    <w:rsid w:val="0062734C"/>
    <w:rsid w:val="006348B6"/>
    <w:rsid w:val="00636CE1"/>
    <w:rsid w:val="00637515"/>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2A6"/>
    <w:rsid w:val="007B4A8D"/>
    <w:rsid w:val="007B64A8"/>
    <w:rsid w:val="007D087B"/>
    <w:rsid w:val="007E75E6"/>
    <w:rsid w:val="007F400A"/>
    <w:rsid w:val="007F53D6"/>
    <w:rsid w:val="007F60DF"/>
    <w:rsid w:val="00803093"/>
    <w:rsid w:val="008052CE"/>
    <w:rsid w:val="00813B2C"/>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C0B28"/>
    <w:rsid w:val="00BC7BD6"/>
    <w:rsid w:val="00BD0E79"/>
    <w:rsid w:val="00BD22F3"/>
    <w:rsid w:val="00BD5921"/>
    <w:rsid w:val="00BD6C0E"/>
    <w:rsid w:val="00BF1437"/>
    <w:rsid w:val="00BF33B6"/>
    <w:rsid w:val="00C02116"/>
    <w:rsid w:val="00C05222"/>
    <w:rsid w:val="00C10A3D"/>
    <w:rsid w:val="00C15BEC"/>
    <w:rsid w:val="00C15CF0"/>
    <w:rsid w:val="00C23CD1"/>
    <w:rsid w:val="00C2509D"/>
    <w:rsid w:val="00C26EA3"/>
    <w:rsid w:val="00C2748A"/>
    <w:rsid w:val="00C4254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09CA"/>
    <w:rsid w:val="00CB2936"/>
    <w:rsid w:val="00CB3D26"/>
    <w:rsid w:val="00CB6011"/>
    <w:rsid w:val="00CC0FED"/>
    <w:rsid w:val="00CC2582"/>
    <w:rsid w:val="00CC6B5C"/>
    <w:rsid w:val="00CC795A"/>
    <w:rsid w:val="00CD4185"/>
    <w:rsid w:val="00CD481C"/>
    <w:rsid w:val="00CD4C40"/>
    <w:rsid w:val="00CD5008"/>
    <w:rsid w:val="00CD543E"/>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729C"/>
    <w:rsid w:val="00F15ADF"/>
    <w:rsid w:val="00F22B19"/>
    <w:rsid w:val="00F22EB2"/>
    <w:rsid w:val="00F23A59"/>
    <w:rsid w:val="00F24029"/>
    <w:rsid w:val="00F3047C"/>
    <w:rsid w:val="00F32D8E"/>
    <w:rsid w:val="00F37375"/>
    <w:rsid w:val="00F4069E"/>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16c3f4" stroke="f">
      <v:fill color="#16c3f4"/>
      <v:stroke on="f"/>
      <o:colormru v:ext="edit" colors="#5b5c5c"/>
    </o:shapedefaults>
    <o:shapelayout v:ext="edit">
      <o:idmap v:ext="edit" data="1"/>
    </o:shapelayout>
  </w:shapeDefaults>
  <w:decimalSymbol w:val="."/>
  <w:listSeparator w:val=","/>
  <w14:docId w14:val="2115E1A1"/>
  <w15:docId w15:val="{4F784994-BCCB-4B80-8EA8-168EEDCC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F4D7A"/>
    <w:pPr>
      <w:outlineLvl w:val="0"/>
    </w:p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F4D7A"/>
    <w:rPr>
      <w:color w:val="16C3F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F463E3"/>
    <w:pPr>
      <w:spacing w:before="120" w:after="120"/>
      <w:ind w:left="0"/>
    </w:pPr>
    <w:rPr>
      <w:rFonts w:asciiTheme="minorHAnsi" w:hAnsiTheme="minorHAnsi"/>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F463E3"/>
    <w:pPr>
      <w:tabs>
        <w:tab w:val="left" w:pos="2250"/>
      </w:tabs>
    </w:pPr>
    <w:rPr>
      <w:rFonts w:ascii="Calibri" w:hAnsi="Calibri"/>
      <w:b/>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F463E3"/>
    <w:rPr>
      <w:rFonts w:cs="Calibri"/>
      <w:b/>
      <w:color w:val="16C3F4"/>
      <w:sz w:val="28"/>
    </w:rPr>
  </w:style>
  <w:style w:type="character" w:customStyle="1" w:styleId="BodyChar">
    <w:name w:val="Body Char"/>
    <w:link w:val="Body"/>
    <w:rsid w:val="00F463E3"/>
    <w:rPr>
      <w:rFonts w:asciiTheme="minorHAnsi" w:hAnsiTheme="minorHAnsi"/>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F463E3"/>
    <w:pPr>
      <w:numPr>
        <w:numId w:val="22"/>
      </w:numPr>
      <w:spacing w:after="120"/>
      <w:ind w:left="360"/>
    </w:p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F463E3"/>
    <w:rPr>
      <w:rFonts w:asciiTheme="minorHAnsi" w:hAnsiTheme="minorHAnsi"/>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paragraph" w:customStyle="1" w:styleId="TeacherNarration">
    <w:name w:val="Teacher Narration"/>
    <w:basedOn w:val="Normal"/>
    <w:rsid w:val="0044786A"/>
    <w:pPr>
      <w:pBdr>
        <w:top w:val="single" w:sz="6" w:space="1" w:color="auto"/>
        <w:left w:val="single" w:sz="6" w:space="1" w:color="auto"/>
        <w:bottom w:val="single" w:sz="6" w:space="1" w:color="auto"/>
        <w:right w:val="single" w:sz="6" w:space="1" w:color="auto"/>
      </w:pBdr>
      <w:spacing w:beforeLines="50" w:before="50" w:afterLines="50" w:after="50" w:line="240" w:lineRule="auto"/>
      <w:ind w:left="0"/>
    </w:pPr>
    <w:rPr>
      <w:rFonts w:ascii="Arial" w:eastAsia="Times New Roman"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10426">
      <w:bodyDiv w:val="1"/>
      <w:marLeft w:val="0"/>
      <w:marRight w:val="0"/>
      <w:marTop w:val="0"/>
      <w:marBottom w:val="0"/>
      <w:divBdr>
        <w:top w:val="none" w:sz="0" w:space="0" w:color="auto"/>
        <w:left w:val="none" w:sz="0" w:space="0" w:color="auto"/>
        <w:bottom w:val="none" w:sz="0" w:space="0" w:color="auto"/>
        <w:right w:val="none" w:sz="0" w:space="0" w:color="auto"/>
      </w:divBdr>
    </w:div>
    <w:div w:id="270092697">
      <w:bodyDiv w:val="1"/>
      <w:marLeft w:val="0"/>
      <w:marRight w:val="0"/>
      <w:marTop w:val="0"/>
      <w:marBottom w:val="0"/>
      <w:divBdr>
        <w:top w:val="none" w:sz="0" w:space="0" w:color="auto"/>
        <w:left w:val="none" w:sz="0" w:space="0" w:color="auto"/>
        <w:bottom w:val="none" w:sz="0" w:space="0" w:color="auto"/>
        <w:right w:val="none" w:sz="0" w:space="0" w:color="auto"/>
      </w:divBdr>
    </w:div>
    <w:div w:id="286132720">
      <w:bodyDiv w:val="1"/>
      <w:marLeft w:val="0"/>
      <w:marRight w:val="0"/>
      <w:marTop w:val="0"/>
      <w:marBottom w:val="0"/>
      <w:divBdr>
        <w:top w:val="none" w:sz="0" w:space="0" w:color="auto"/>
        <w:left w:val="none" w:sz="0" w:space="0" w:color="auto"/>
        <w:bottom w:val="none" w:sz="0" w:space="0" w:color="auto"/>
        <w:right w:val="none" w:sz="0" w:space="0" w:color="auto"/>
      </w:divBdr>
    </w:div>
    <w:div w:id="355233485">
      <w:bodyDiv w:val="1"/>
      <w:marLeft w:val="0"/>
      <w:marRight w:val="0"/>
      <w:marTop w:val="0"/>
      <w:marBottom w:val="0"/>
      <w:divBdr>
        <w:top w:val="none" w:sz="0" w:space="0" w:color="auto"/>
        <w:left w:val="none" w:sz="0" w:space="0" w:color="auto"/>
        <w:bottom w:val="none" w:sz="0" w:space="0" w:color="auto"/>
        <w:right w:val="none" w:sz="0" w:space="0" w:color="auto"/>
      </w:divBdr>
    </w:div>
    <w:div w:id="411124844">
      <w:bodyDiv w:val="1"/>
      <w:marLeft w:val="0"/>
      <w:marRight w:val="0"/>
      <w:marTop w:val="0"/>
      <w:marBottom w:val="0"/>
      <w:divBdr>
        <w:top w:val="none" w:sz="0" w:space="0" w:color="auto"/>
        <w:left w:val="none" w:sz="0" w:space="0" w:color="auto"/>
        <w:bottom w:val="none" w:sz="0" w:space="0" w:color="auto"/>
        <w:right w:val="none" w:sz="0" w:space="0" w:color="auto"/>
      </w:divBdr>
    </w:div>
    <w:div w:id="529149964">
      <w:bodyDiv w:val="1"/>
      <w:marLeft w:val="0"/>
      <w:marRight w:val="0"/>
      <w:marTop w:val="0"/>
      <w:marBottom w:val="0"/>
      <w:divBdr>
        <w:top w:val="none" w:sz="0" w:space="0" w:color="auto"/>
        <w:left w:val="none" w:sz="0" w:space="0" w:color="auto"/>
        <w:bottom w:val="none" w:sz="0" w:space="0" w:color="auto"/>
        <w:right w:val="none" w:sz="0" w:space="0" w:color="auto"/>
      </w:divBdr>
    </w:div>
    <w:div w:id="562444553">
      <w:bodyDiv w:val="1"/>
      <w:marLeft w:val="0"/>
      <w:marRight w:val="0"/>
      <w:marTop w:val="0"/>
      <w:marBottom w:val="0"/>
      <w:divBdr>
        <w:top w:val="none" w:sz="0" w:space="0" w:color="auto"/>
        <w:left w:val="none" w:sz="0" w:space="0" w:color="auto"/>
        <w:bottom w:val="none" w:sz="0" w:space="0" w:color="auto"/>
        <w:right w:val="none" w:sz="0" w:space="0" w:color="auto"/>
      </w:divBdr>
    </w:div>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067269024">
      <w:bodyDiv w:val="1"/>
      <w:marLeft w:val="0"/>
      <w:marRight w:val="0"/>
      <w:marTop w:val="0"/>
      <w:marBottom w:val="0"/>
      <w:divBdr>
        <w:top w:val="none" w:sz="0" w:space="0" w:color="auto"/>
        <w:left w:val="none" w:sz="0" w:space="0" w:color="auto"/>
        <w:bottom w:val="none" w:sz="0" w:space="0" w:color="auto"/>
        <w:right w:val="none" w:sz="0" w:space="0" w:color="auto"/>
      </w:divBdr>
    </w:div>
    <w:div w:id="1082066933">
      <w:bodyDiv w:val="1"/>
      <w:marLeft w:val="0"/>
      <w:marRight w:val="0"/>
      <w:marTop w:val="0"/>
      <w:marBottom w:val="0"/>
      <w:divBdr>
        <w:top w:val="none" w:sz="0" w:space="0" w:color="auto"/>
        <w:left w:val="none" w:sz="0" w:space="0" w:color="auto"/>
        <w:bottom w:val="none" w:sz="0" w:space="0" w:color="auto"/>
        <w:right w:val="none" w:sz="0" w:space="0" w:color="auto"/>
      </w:divBdr>
    </w:div>
    <w:div w:id="1194803625">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311399885">
      <w:bodyDiv w:val="1"/>
      <w:marLeft w:val="0"/>
      <w:marRight w:val="0"/>
      <w:marTop w:val="0"/>
      <w:marBottom w:val="0"/>
      <w:divBdr>
        <w:top w:val="none" w:sz="0" w:space="0" w:color="auto"/>
        <w:left w:val="none" w:sz="0" w:space="0" w:color="auto"/>
        <w:bottom w:val="none" w:sz="0" w:space="0" w:color="auto"/>
        <w:right w:val="none" w:sz="0" w:space="0" w:color="auto"/>
      </w:divBdr>
    </w:div>
    <w:div w:id="139088406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708096884">
      <w:bodyDiv w:val="1"/>
      <w:marLeft w:val="0"/>
      <w:marRight w:val="0"/>
      <w:marTop w:val="0"/>
      <w:marBottom w:val="0"/>
      <w:divBdr>
        <w:top w:val="none" w:sz="0" w:space="0" w:color="auto"/>
        <w:left w:val="none" w:sz="0" w:space="0" w:color="auto"/>
        <w:bottom w:val="none" w:sz="0" w:space="0" w:color="auto"/>
        <w:right w:val="none" w:sz="0" w:space="0" w:color="auto"/>
      </w:divBdr>
    </w:div>
    <w:div w:id="1851405696">
      <w:bodyDiv w:val="1"/>
      <w:marLeft w:val="0"/>
      <w:marRight w:val="0"/>
      <w:marTop w:val="0"/>
      <w:marBottom w:val="0"/>
      <w:divBdr>
        <w:top w:val="none" w:sz="0" w:space="0" w:color="auto"/>
        <w:left w:val="none" w:sz="0" w:space="0" w:color="auto"/>
        <w:bottom w:val="none" w:sz="0" w:space="0" w:color="auto"/>
        <w:right w:val="none" w:sz="0" w:space="0" w:color="auto"/>
      </w:divBdr>
    </w:div>
    <w:div w:id="1939437733">
      <w:bodyDiv w:val="1"/>
      <w:marLeft w:val="0"/>
      <w:marRight w:val="0"/>
      <w:marTop w:val="0"/>
      <w:marBottom w:val="0"/>
      <w:divBdr>
        <w:top w:val="none" w:sz="0" w:space="0" w:color="auto"/>
        <w:left w:val="none" w:sz="0" w:space="0" w:color="auto"/>
        <w:bottom w:val="none" w:sz="0" w:space="0" w:color="auto"/>
        <w:right w:val="none" w:sz="0" w:space="0" w:color="auto"/>
      </w:divBdr>
    </w:div>
    <w:div w:id="1978410015">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2.xml><?xml version="1.0" encoding="utf-8"?>
<ds:datastoreItem xmlns:ds="http://schemas.openxmlformats.org/officeDocument/2006/customXml" ds:itemID="{679C0E6C-EC4A-4697-AD7B-0BD17C01ED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ef4dc9-2719-4354-9e14-c46f1db1eea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42511-CC1B-410C-AF1E-46D5C1F2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0</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5143</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Rozendaal, Kayla</cp:lastModifiedBy>
  <cp:revision>2</cp:revision>
  <cp:lastPrinted>2017-02-08T15:20:00Z</cp:lastPrinted>
  <dcterms:created xsi:type="dcterms:W3CDTF">2018-08-13T13:43:00Z</dcterms:created>
  <dcterms:modified xsi:type="dcterms:W3CDTF">2018-08-13T13:43:00Z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